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Договор постоянного обслуживания автопарка</w:t>
      </w:r>
    </w:p>
    <w:p>
      <w:r>
        <w:t>Шаблон для заполнения · Номер [___] · Город Москва · Дата [___]</w:t>
      </w:r>
    </w:p>
    <w:p>
      <w:r>
        <w:t>ООО «ВОЗРОЖДЕНИЕ», далее «Исполнитель», в лице генерального директора Гогуадзе Гаиоза Тенгизовича, действующего на основании Устава, и [полное наименование и ИНН заказчика — организации или ИП], далее «Заказчик», в лице [ФИО и основание полномочий, если применимо], заключили настоящий договор.</w:t>
      </w:r>
    </w:p>
    <w:p>
      <w:pPr>
        <w:pStyle w:val="Heading1"/>
      </w:pPr>
      <w:r>
        <w:t>1 Предмет договора</w:t>
      </w:r>
    </w:p>
    <w:p>
      <w:r>
        <w:t>1.1. Договор предназначен для Заказчика — организации или ИП. Исполнитель по отдельным подтверждённым заявкам выполняет выездной шиномонтаж, ремонт и замену шин, балансировку и иные согласованные работы с автопарком, включая погрузчики при технической возможности.</w:t>
      </w:r>
    </w:p>
    <w:p>
      <w:r>
        <w:t>1.2. Каждая заявка определяет технику, площадку, перечень работ, материалы, сроки и цену. Несколько площадок обслуживаются в рамках одного договора. Минимальный объём заказов, эксклюзивность и постоянная готовность бригады не устанавливаются, если стороны не согласовали их отдельно.</w:t>
      </w:r>
    </w:p>
    <w:p>
      <w:pPr>
        <w:pStyle w:val="Heading1"/>
      </w:pPr>
      <w:r>
        <w:t>2 Заявки и уполномоченные лица</w:t>
      </w:r>
    </w:p>
    <w:p>
      <w:r>
        <w:t>2.1. Заявки направляются с согласованных адресов email или телефонов. Заявка считается принятой после подтверждения Исполнителем объёма, цены и времени выполнения. Время прибытия согласуется отдельно для каждого выезда.</w:t>
      </w:r>
    </w:p>
    <w:p>
      <w:r>
        <w:t>2.2. Контакты и площадки указываются в приложении. Заказчик письменно определяет, кто вправе заказывать работы, согласовывать доплаты и подписывать акты. Водитель не признаётся уполномоченным согласовывать цену только в силу управления автомобилем.</w:t>
      </w:r>
    </w:p>
    <w:p>
      <w:pPr>
        <w:pStyle w:val="Heading1"/>
      </w:pPr>
      <w:r>
        <w:t>3 Порядок выполнения работ</w:t>
      </w:r>
    </w:p>
    <w:p>
      <w:r>
        <w:t>3.1. До начала работ стороны оформляют заказ-наряд по форме приложения. Заказчик обеспечивает допуск на площадку, безопасное место и доступ к технике. Дефекты, комплектность и переданное имущество фиксируются при осмотре.</w:t>
      </w:r>
    </w:p>
    <w:p>
      <w:r>
        <w:t>3.2. Дополнительные работы и материалы выполняются только после документированного согласования. При опасных условиях или непригодных материалах Исполнитель приостанавливает работы и уведомляет Заказчика о вариантах решения и влиянии на сроки.</w:t>
      </w:r>
    </w:p>
    <w:p>
      <w:r>
        <w:t>3.3. Для погрузчиков заявка дополнительно содержит тип колёс и шин, массу техники, условия доступа и требуемое оборудование. Работы, требующие отсутствующего оборудования или небезопасные на площадке, не подтверждаются к исполнению.</w:t>
      </w:r>
    </w:p>
    <w:p>
      <w:pPr>
        <w:pStyle w:val="Heading1"/>
      </w:pPr>
      <w:r>
        <w:t>4 Тарифы</w:t>
      </w:r>
    </w:p>
    <w:p>
      <w:r>
        <w:t>4.1. Тарифы, стоимость выезда, километража, материалов и дополнительных операций фиксируются в приложении либо в подтверждённой заявке. На уже принятые заявки новые тарифы не распространяются. Изменение общих тарифов требует соглашения сторон.</w:t>
      </w:r>
    </w:p>
    <w:p>
      <w:r>
        <w:br w:type="page"/>
      </w:r>
    </w:p>
    <w:p>
      <w:pPr>
        <w:pStyle w:val="Heading1"/>
      </w:pPr>
      <w:r>
        <w:t>5 Оплата и закрывающие документы</w:t>
      </w:r>
    </w:p>
    <w:p>
      <w:r>
        <w:t>5.1. Заказчик оплачивает каждую заявку в течение 3 рабочих дней после приёмки работ и получения счёта. Аванс не требуется, если стороны письменно не согласовали иное до подтверждения заявки.</w:t>
      </w:r>
    </w:p>
    <w:p>
      <w:r>
        <w:t>5.2. Исполнитель применяет упрощённую систему налогообложения. Согласованная общая стоимость окончательная; налог сверх неё не начисляется. Оплата производится на расчётный счёт Исполнителя; иной способ допускается по согласованию и с соблюдением требований закона.</w:t>
      </w:r>
    </w:p>
    <w:p>
      <w:r>
        <w:t>5.3. По каждому заказу оформляются заказ-наряд, акт и счёт на оплату; УПД — при применении сторонами. Документы подписываются на бумаге в двух экземплярах. ЭДО допускается после отдельного соглашения об операторе и идентификаторах. Реестр заказов не заменяет первичные документы.</w:t>
      </w:r>
    </w:p>
    <w:p>
      <w:pPr>
        <w:pStyle w:val="Heading1"/>
      </w:pPr>
      <w:r>
        <w:t>6 Приёмка и недостатки</w:t>
      </w:r>
    </w:p>
    <w:p>
      <w:r>
        <w:t>6.1. Представитель Заказчика принимает результат при завершении работ. При его отсутствии Исполнитель направляет акт и сведения о результате; срок подписания или мотивированных замечаний — 3 рабочих дня со дня получения. Молчание не считается подписанием акта.</w:t>
      </w:r>
    </w:p>
    <w:p>
      <w:r>
        <w:t>6.2. Гарантия на работы — 30 календарных дней со дня приёмки; на материалы Исполнителя — по документам изготовителя. Больший срок можно согласовать в заявке. Отсутствие гарантии изготовителя не исключает законных требований. При недостатках стороны проводят осмотр и согласуют способ и срок устранения. Законные права сохраняются.</w:t>
      </w:r>
    </w:p>
    <w:p>
      <w:pPr>
        <w:pStyle w:val="Heading1"/>
      </w:pPr>
      <w:r>
        <w:t>7 Ответственность и разногласия</w:t>
      </w:r>
    </w:p>
    <w:p>
      <w:r>
        <w:t>7.1. За просрочку оплаты Заказчик уплачивает пеню 0,5% от непогашенной просроченной суммы за каждый календарный день; за просрочку работ Исполнитель — 0,5% от стоимости работ с нарушенным сроком за каждый календарный день. Начисление — со дня, следующего за сроком исполнения, по день исполнения включительно. Иная ответственность — по закону.</w:t>
      </w:r>
    </w:p>
    <w:p>
      <w:r>
        <w:t>7.2. При просрочке оплаты Исполнитель вправе не подтверждать новые заявки. Изменение исполнения уже принятых заявок допускается только на основаниях договора и закона с уведомлением Заказчика.</w:t>
      </w:r>
    </w:p>
    <w:p>
      <w:r>
        <w:t>7.3. Сторона, ссылающаяся на непреодолимую силу, уведомляет другую сторону и подтверждает влияние обстоятельства на исполнение. Отсутствие денежных средств и обычные транспортные затруднения сами по себе не освобождают от ответственности.</w:t>
      </w:r>
    </w:p>
    <w:p>
      <w:r>
        <w:t>7.4. Претензии направляются на адрес или email стороны. Срок ответа — 10 рабочих дней; обращение в суд производится после обязательного досудебного срока, установленного применимым процессуальным законом. Спор рассматривается компетентным судом по общим правилам подсудности.</w:t>
      </w:r>
    </w:p>
    <w:p>
      <w:r>
        <w:br w:type="page"/>
      </w:r>
    </w:p>
    <w:p>
      <w:pPr>
        <w:pStyle w:val="Heading1"/>
      </w:pPr>
      <w:r>
        <w:t>8 Срок договора и обмен документами</w:t>
      </w:r>
    </w:p>
    <w:p>
      <w:r>
        <w:t>8.1. Договор действует 1 год со дня подписания обеими сторонами и продлевается на каждый следующий год, если за 30 календарных дней до окончания ни одна сторона не заявит об отказе. Любая сторона может прекратить приём новых заявок, уведомив другую за 30 календарных дней. Подтверждённые заявки сохраняют силу с учётом законных оснований отказа.</w:t>
      </w:r>
    </w:p>
    <w:p>
      <w:r>
        <w:t>8.2. При прекращении стороны сверяют выполненные заказы, авансы и остатки материалов. Прекращение не отменяет оплату выполненного, возврат неотработанных авансов и обязательства по качеству.</w:t>
      </w:r>
    </w:p>
    <w:p>
      <w:r>
        <w:t>8.3. Переписка с согласованных контактов используется для заявок и согласований при возможности установить отправителя. Смена контактов и представителей доводится до другой стороны письменно. Подписание договора и первичных документов — собственноручно или допустимой электронной подписью.</w:t>
      </w:r>
    </w:p>
    <w:p>
      <w:r>
        <w:t>8.4. Стороны используют полученные контактные данные и сведения об автопарке для исполнения договора и обязательного учёта, не публикуют их без законного основания. Неурегулированные вопросы регулируются законодательством РФ.</w:t>
      </w:r>
    </w:p>
    <w:p>
      <w:pPr>
        <w:pStyle w:val="Heading1"/>
      </w:pPr>
      <w:r>
        <w:t>Реквизиты и подписи сторон</w:t>
      </w:r>
    </w:p>
    <w:p>
      <w:r>
        <w:t>ООО «ВОЗРОЖДЕНИЕ»</w:t>
      </w:r>
    </w:p>
    <w:p>
      <w:r>
        <w:t>Полное наименование: ОБЩЕСТВО С ОГРАНИЧЕННОЙ ОТВЕТСТВЕННОСТЬЮ «ВОЗРОЖДЕНИЕ»</w:t>
      </w:r>
    </w:p>
    <w:p>
      <w:r>
        <w:t>Адрес: 192007, Россия, г. Санкт-Петербург, муниципальный округ Волковское, ул. Расстанная, д. 18, литера Б, помещ. 14-Н, офис 6</w:t>
      </w:r>
    </w:p>
    <w:p>
      <w:r>
        <w:t>ИНН 7816760739 · КПП 781601001</w:t>
      </w:r>
    </w:p>
    <w:p>
      <w:r>
        <w:t>Расчётный счёт 40702810532440005385 · Валюта RUR</w:t>
      </w:r>
    </w:p>
    <w:p>
      <w:r>
        <w:t>Банк: ФИЛИАЛ «САНКТ-ПЕТЕРБУРГСКИЙ» АО «АЛЬФА-БАНК»</w:t>
      </w:r>
    </w:p>
    <w:p>
      <w:r>
        <w:t>ИНН банка 7728168971 · БИК 044030786</w:t>
      </w:r>
    </w:p>
    <w:p>
      <w:r>
        <w:t>Корреспондентский счёт 30101810600000000786</w:t>
      </w:r>
    </w:p>
    <w:p>
      <w:r>
        <w:t>Телефон: +7 (921) 907-11-55 · Почта: vyezdnoi-shinomontaj-spb@yandex.ru</w:t>
      </w:r>
    </w:p>
    <w:p>
      <w:r>
        <w:t>Генеральный директор __________________ / Гогуадзе Гаиоз Тенгизович</w:t>
      </w:r>
    </w:p>
    <w:p>
      <w:r>
        <w:t>Заказчик: [наименование / ФИО, адрес, ИНН и КПП при наличии, банковские реквизиты, телефон, email]</w:t>
      </w:r>
    </w:p>
    <w:p>
      <w:r>
        <w:t>________________________________________________________________________</w:t>
      </w:r>
    </w:p>
    <w:p>
      <w:r>
        <w:t>Заказчик: [ФИО, полномочия] __________________ / подпись</w:t>
      </w:r>
    </w:p>
    <w:p>
      <w:r>
        <w:t>Перед подписанием укажите данные Заказчика, дату, номер договора и полномочия представителей. Работы, сроки и стоимость согласуйте в заявке. Для личных заказов граждан используется разовый договор.</w:t>
      </w:r>
    </w:p>
    <w:p>
      <w:r>
        <w:br w:type="page"/>
      </w:r>
    </w:p>
    <w:p>
      <w:pPr>
        <w:pStyle w:val="Heading1"/>
      </w:pPr>
      <w:r>
        <w:t>Заявка и заказ наряд</w:t>
      </w:r>
    </w:p>
    <w:p>
      <w:pPr>
        <w:spacing w:after="100"/>
      </w:pPr>
      <w:r>
        <w:t>К договору № __________________ от __________________    г. Москва</w:t>
      </w:r>
    </w:p>
    <w:p>
      <w:pPr>
        <w:spacing w:after="100"/>
      </w:pPr>
      <w:r>
        <w:t>Заявка № __________________    Дата и время __________________</w:t>
      </w:r>
    </w:p>
    <w:p>
      <w:pPr>
        <w:keepNext/>
        <w:spacing w:after="0"/>
      </w:pPr>
      <w:r>
        <w:t>Заказчик и уполномоченный представитель   ФИО и телефон</w:t>
      </w:r>
    </w:p>
    <w:p>
      <w:pPr>
        <w:spacing w:after="0" w:line="240" w:lineRule="auto" w:before="0"/>
        <w:pBdr>
          <w:bottom w:val="single" w:sz="4" w:color="AAAAAA"/>
        </w:pBdr>
      </w:pPr>
      <w:r>
        <w:rPr>
          <w:sz w:val="42"/>
        </w:rPr>
        <w:t xml:space="preserve"> </w:t>
      </w:r>
    </w:p>
    <w:p>
      <w:pPr>
        <w:keepNext/>
        <w:spacing w:after="0"/>
      </w:pPr>
      <w:r>
        <w:t>Адрес выезда или площадка   Условия доступа</w:t>
      </w:r>
    </w:p>
    <w:p>
      <w:pPr>
        <w:spacing w:after="0" w:line="240" w:lineRule="auto" w:before="0"/>
        <w:pBdr>
          <w:bottom w:val="single" w:sz="4" w:color="AAAAAA"/>
        </w:pBdr>
      </w:pPr>
      <w:r>
        <w:rPr>
          <w:sz w:val="42"/>
        </w:rPr>
        <w:t xml:space="preserve"> </w:t>
      </w:r>
    </w:p>
    <w:p>
      <w:pPr>
        <w:keepNext/>
        <w:spacing w:after="0"/>
      </w:pPr>
      <w:r>
        <w:t>Автомобиль или техника   Марка   Госномер   VIN или заводской номер</w:t>
      </w:r>
    </w:p>
    <w:p>
      <w:pPr>
        <w:spacing w:after="0" w:line="240" w:lineRule="auto" w:before="0"/>
        <w:pBdr>
          <w:bottom w:val="single" w:sz="4" w:color="AAAAAA"/>
        </w:pBdr>
      </w:pPr>
      <w:r>
        <w:rPr>
          <w:sz w:val="42"/>
        </w:rPr>
        <w:t xml:space="preserve"> </w:t>
      </w:r>
    </w:p>
    <w:p>
      <w:pPr>
        <w:spacing w:after="100"/>
      </w:pPr>
      <w:r>
        <w:t>Пробег __________________  Размер и тип шин ______________________________</w:t>
      </w:r>
    </w:p>
    <w:p>
      <w:pPr>
        <w:keepNext/>
        <w:spacing w:after="0"/>
      </w:pPr>
      <w:r>
        <w:t>Неисправность   Видимые повреждения   Комплектность и переданное имущество</w:t>
      </w:r>
    </w:p>
    <w:p>
      <w:pPr>
        <w:spacing w:after="0" w:line="240" w:lineRule="auto" w:before="0"/>
        <w:pBdr>
          <w:bottom w:val="single" w:sz="4" w:color="AAAAAA"/>
        </w:pBdr>
      </w:pPr>
      <w:r>
        <w:rPr>
          <w:sz w:val="42"/>
        </w:rPr>
        <w:t xml:space="preserve"> </w:t>
      </w:r>
    </w:p>
    <w:tbl>
      <w:tblPr>
        <w:tblW w:type="auto" w:w="0"/>
        <w:jc w:val="center"/>
        <w:tblLayout w:type="fixed"/>
        <w:tblLook w:firstColumn="1" w:firstRow="1" w:lastColumn="0" w:lastRow="0" w:noHBand="0" w:noVBand="1" w:val="04A0"/>
      </w:tblPr>
      <w:tblGrid>
        <w:gridCol w:w="5472"/>
        <w:gridCol w:w="936"/>
        <w:gridCol w:w="1728"/>
        <w:gridCol w:w="1944"/>
      </w:tblGrid>
      <w:tr>
        <w:tc>
          <w:tcPr>
            <w:tcW w:type="dxa" w:w="5472"/>
            <w:vAlign w:val="center"/>
            <w:tcBorders>
              <w:top w:val="single" w:sz="4" w:color="D9D9D9"/>
              <w:left w:val="single" w:sz="4" w:color="D9D9D9"/>
              <w:bottom w:val="single" w:sz="4" w:color="D9D9D9"/>
              <w:right w:val="single" w:sz="4" w:color="D9D9D9"/>
            </w:tcBorders>
            <w:shd w:fill="EAEAEA"/>
          </w:tcPr>
          <w:p>
            <w:r>
              <w:t>Работа или материал</w:t>
            </w:r>
          </w:p>
        </w:tc>
        <w:tc>
          <w:tcPr>
            <w:tcW w:type="dxa" w:w="936"/>
            <w:vAlign w:val="center"/>
            <w:tcBorders>
              <w:top w:val="single" w:sz="4" w:color="D9D9D9"/>
              <w:left w:val="single" w:sz="4" w:color="D9D9D9"/>
              <w:bottom w:val="single" w:sz="4" w:color="D9D9D9"/>
              <w:right w:val="single" w:sz="4" w:color="D9D9D9"/>
            </w:tcBorders>
            <w:shd w:fill="EAEAEA"/>
          </w:tcPr>
          <w:p>
            <w:r>
              <w:t>Кол во</w:t>
            </w:r>
          </w:p>
        </w:tc>
        <w:tc>
          <w:tcPr>
            <w:tcW w:type="dxa" w:w="1728"/>
            <w:vAlign w:val="center"/>
            <w:tcBorders>
              <w:top w:val="single" w:sz="4" w:color="D9D9D9"/>
              <w:left w:val="single" w:sz="4" w:color="D9D9D9"/>
              <w:bottom w:val="single" w:sz="4" w:color="D9D9D9"/>
              <w:right w:val="single" w:sz="4" w:color="D9D9D9"/>
            </w:tcBorders>
            <w:shd w:fill="EAEAEA"/>
          </w:tcPr>
          <w:p>
            <w:r>
              <w:t>Цена ₽</w:t>
            </w:r>
          </w:p>
        </w:tc>
        <w:tc>
          <w:tcPr>
            <w:tcW w:type="dxa" w:w="1944"/>
            <w:vAlign w:val="center"/>
            <w:tcBorders>
              <w:top w:val="single" w:sz="4" w:color="D9D9D9"/>
              <w:left w:val="single" w:sz="4" w:color="D9D9D9"/>
              <w:bottom w:val="single" w:sz="4" w:color="D9D9D9"/>
              <w:right w:val="single" w:sz="4" w:color="D9D9D9"/>
            </w:tcBorders>
            <w:shd w:fill="EAEAEA"/>
          </w:tcPr>
          <w:p>
            <w:r>
              <w:t>Сумма ₽</w:t>
            </w:r>
          </w:p>
        </w:tc>
      </w:tr>
      <w:tr>
        <w:trPr>
          <w:trHeight w:val="576" w:hRule="atLeast"/>
        </w:trPr>
        <w:tc>
          <w:tcPr>
            <w:tcW w:type="dxa" w:w="5472"/>
            <w:vAlign w:val="center"/>
            <w:tcBorders>
              <w:top w:val="single" w:sz="4" w:color="D9D9D9"/>
              <w:left w:val="single" w:sz="4" w:color="D9D9D9"/>
              <w:bottom w:val="single" w:sz="4" w:color="D9D9D9"/>
              <w:right w:val="single" w:sz="4" w:color="D9D9D9"/>
            </w:tcBorders>
          </w:tcPr>
          <w:p/>
        </w:tc>
        <w:tc>
          <w:tcPr>
            <w:tcW w:type="dxa" w:w="936"/>
            <w:vAlign w:val="center"/>
            <w:tcBorders>
              <w:top w:val="single" w:sz="4" w:color="D9D9D9"/>
              <w:left w:val="single" w:sz="4" w:color="D9D9D9"/>
              <w:bottom w:val="single" w:sz="4" w:color="D9D9D9"/>
              <w:right w:val="single" w:sz="4" w:color="D9D9D9"/>
            </w:tcBorders>
          </w:tcPr>
          <w:p/>
        </w:tc>
        <w:tc>
          <w:tcPr>
            <w:tcW w:type="dxa" w:w="1728"/>
            <w:vAlign w:val="center"/>
            <w:tcBorders>
              <w:top w:val="single" w:sz="4" w:color="D9D9D9"/>
              <w:left w:val="single" w:sz="4" w:color="D9D9D9"/>
              <w:bottom w:val="single" w:sz="4" w:color="D9D9D9"/>
              <w:right w:val="single" w:sz="4" w:color="D9D9D9"/>
            </w:tcBorders>
          </w:tcPr>
          <w:p/>
        </w:tc>
        <w:tc>
          <w:tcPr>
            <w:tcW w:type="dxa" w:w="1944"/>
            <w:vAlign w:val="center"/>
            <w:tcBorders>
              <w:top w:val="single" w:sz="4" w:color="D9D9D9"/>
              <w:left w:val="single" w:sz="4" w:color="D9D9D9"/>
              <w:bottom w:val="single" w:sz="4" w:color="D9D9D9"/>
              <w:right w:val="single" w:sz="4" w:color="D9D9D9"/>
            </w:tcBorders>
          </w:tcPr>
          <w:p/>
        </w:tc>
      </w:tr>
      <w:tr>
        <w:trPr>
          <w:trHeight w:val="576" w:hRule="atLeast"/>
        </w:trPr>
        <w:tc>
          <w:tcPr>
            <w:tcW w:type="dxa" w:w="5472"/>
            <w:vAlign w:val="center"/>
            <w:tcBorders>
              <w:top w:val="single" w:sz="4" w:color="D9D9D9"/>
              <w:left w:val="single" w:sz="4" w:color="D9D9D9"/>
              <w:bottom w:val="single" w:sz="4" w:color="D9D9D9"/>
              <w:right w:val="single" w:sz="4" w:color="D9D9D9"/>
            </w:tcBorders>
          </w:tcPr>
          <w:p/>
        </w:tc>
        <w:tc>
          <w:tcPr>
            <w:tcW w:type="dxa" w:w="936"/>
            <w:vAlign w:val="center"/>
            <w:tcBorders>
              <w:top w:val="single" w:sz="4" w:color="D9D9D9"/>
              <w:left w:val="single" w:sz="4" w:color="D9D9D9"/>
              <w:bottom w:val="single" w:sz="4" w:color="D9D9D9"/>
              <w:right w:val="single" w:sz="4" w:color="D9D9D9"/>
            </w:tcBorders>
          </w:tcPr>
          <w:p/>
        </w:tc>
        <w:tc>
          <w:tcPr>
            <w:tcW w:type="dxa" w:w="1728"/>
            <w:vAlign w:val="center"/>
            <w:tcBorders>
              <w:top w:val="single" w:sz="4" w:color="D9D9D9"/>
              <w:left w:val="single" w:sz="4" w:color="D9D9D9"/>
              <w:bottom w:val="single" w:sz="4" w:color="D9D9D9"/>
              <w:right w:val="single" w:sz="4" w:color="D9D9D9"/>
            </w:tcBorders>
          </w:tcPr>
          <w:p/>
        </w:tc>
        <w:tc>
          <w:tcPr>
            <w:tcW w:type="dxa" w:w="1944"/>
            <w:vAlign w:val="center"/>
            <w:tcBorders>
              <w:top w:val="single" w:sz="4" w:color="D9D9D9"/>
              <w:left w:val="single" w:sz="4" w:color="D9D9D9"/>
              <w:bottom w:val="single" w:sz="4" w:color="D9D9D9"/>
              <w:right w:val="single" w:sz="4" w:color="D9D9D9"/>
            </w:tcBorders>
          </w:tcPr>
          <w:p/>
        </w:tc>
      </w:tr>
      <w:tr>
        <w:trPr>
          <w:trHeight w:val="576" w:hRule="atLeast"/>
        </w:trPr>
        <w:tc>
          <w:tcPr>
            <w:tcW w:type="dxa" w:w="5472"/>
            <w:vAlign w:val="center"/>
            <w:tcBorders>
              <w:top w:val="single" w:sz="4" w:color="D9D9D9"/>
              <w:left w:val="single" w:sz="4" w:color="D9D9D9"/>
              <w:bottom w:val="single" w:sz="4" w:color="D9D9D9"/>
              <w:right w:val="single" w:sz="4" w:color="D9D9D9"/>
            </w:tcBorders>
          </w:tcPr>
          <w:p/>
        </w:tc>
        <w:tc>
          <w:tcPr>
            <w:tcW w:type="dxa" w:w="936"/>
            <w:vAlign w:val="center"/>
            <w:tcBorders>
              <w:top w:val="single" w:sz="4" w:color="D9D9D9"/>
              <w:left w:val="single" w:sz="4" w:color="D9D9D9"/>
              <w:bottom w:val="single" w:sz="4" w:color="D9D9D9"/>
              <w:right w:val="single" w:sz="4" w:color="D9D9D9"/>
            </w:tcBorders>
          </w:tcPr>
          <w:p/>
        </w:tc>
        <w:tc>
          <w:tcPr>
            <w:tcW w:type="dxa" w:w="1728"/>
            <w:vAlign w:val="center"/>
            <w:tcBorders>
              <w:top w:val="single" w:sz="4" w:color="D9D9D9"/>
              <w:left w:val="single" w:sz="4" w:color="D9D9D9"/>
              <w:bottom w:val="single" w:sz="4" w:color="D9D9D9"/>
              <w:right w:val="single" w:sz="4" w:color="D9D9D9"/>
            </w:tcBorders>
          </w:tcPr>
          <w:p/>
        </w:tc>
        <w:tc>
          <w:tcPr>
            <w:tcW w:type="dxa" w:w="1944"/>
            <w:vAlign w:val="center"/>
            <w:tcBorders>
              <w:top w:val="single" w:sz="4" w:color="D9D9D9"/>
              <w:left w:val="single" w:sz="4" w:color="D9D9D9"/>
              <w:bottom w:val="single" w:sz="4" w:color="D9D9D9"/>
              <w:right w:val="single" w:sz="4" w:color="D9D9D9"/>
            </w:tcBorders>
          </w:tcPr>
          <w:p/>
        </w:tc>
      </w:tr>
      <w:tr>
        <w:trPr>
          <w:trHeight w:val="576" w:hRule="atLeast"/>
        </w:trPr>
        <w:tc>
          <w:tcPr>
            <w:tcW w:type="dxa" w:w="5472"/>
            <w:vAlign w:val="center"/>
            <w:tcBorders>
              <w:top w:val="single" w:sz="4" w:color="D9D9D9"/>
              <w:left w:val="single" w:sz="4" w:color="D9D9D9"/>
              <w:bottom w:val="single" w:sz="4" w:color="D9D9D9"/>
              <w:right w:val="single" w:sz="4" w:color="D9D9D9"/>
            </w:tcBorders>
          </w:tcPr>
          <w:p/>
        </w:tc>
        <w:tc>
          <w:tcPr>
            <w:tcW w:type="dxa" w:w="936"/>
            <w:vAlign w:val="center"/>
            <w:tcBorders>
              <w:top w:val="single" w:sz="4" w:color="D9D9D9"/>
              <w:left w:val="single" w:sz="4" w:color="D9D9D9"/>
              <w:bottom w:val="single" w:sz="4" w:color="D9D9D9"/>
              <w:right w:val="single" w:sz="4" w:color="D9D9D9"/>
            </w:tcBorders>
          </w:tcPr>
          <w:p/>
        </w:tc>
        <w:tc>
          <w:tcPr>
            <w:tcW w:type="dxa" w:w="1728"/>
            <w:vAlign w:val="center"/>
            <w:tcBorders>
              <w:top w:val="single" w:sz="4" w:color="D9D9D9"/>
              <w:left w:val="single" w:sz="4" w:color="D9D9D9"/>
              <w:bottom w:val="single" w:sz="4" w:color="D9D9D9"/>
              <w:right w:val="single" w:sz="4" w:color="D9D9D9"/>
            </w:tcBorders>
          </w:tcPr>
          <w:p/>
        </w:tc>
        <w:tc>
          <w:tcPr>
            <w:tcW w:type="dxa" w:w="1944"/>
            <w:vAlign w:val="center"/>
            <w:tcBorders>
              <w:top w:val="single" w:sz="4" w:color="D9D9D9"/>
              <w:left w:val="single" w:sz="4" w:color="D9D9D9"/>
              <w:bottom w:val="single" w:sz="4" w:color="D9D9D9"/>
              <w:right w:val="single" w:sz="4" w:color="D9D9D9"/>
            </w:tcBorders>
          </w:tcPr>
          <w:p/>
        </w:tc>
      </w:tr>
    </w:tbl>
    <w:p>
      <w:pPr>
        <w:spacing w:after="20"/>
      </w:pPr>
    </w:p>
    <w:p>
      <w:pPr>
        <w:spacing w:after="100"/>
      </w:pPr>
      <w:r>
        <w:t>ИТОГО __________________ ₽</w:t>
      </w:r>
    </w:p>
    <w:p>
      <w:pPr>
        <w:spacing w:after="100"/>
      </w:pPr>
      <w:r>
        <w:t>Смета — твёрдая. Оплата по счёту в течение 3 рабочих дней после приёмки и получения счёта.</w:t>
      </w:r>
    </w:p>
    <w:p>
      <w:pPr>
        <w:keepNext/>
        <w:spacing w:after="0"/>
      </w:pPr>
      <w:r>
        <w:t>Гарантия: работы — 30 дней; материалы — по документам изготовителя. Материалы Заказчика:</w:t>
      </w:r>
    </w:p>
    <w:p>
      <w:pPr>
        <w:spacing w:after="0" w:line="240" w:lineRule="auto" w:before="0"/>
        <w:pBdr>
          <w:bottom w:val="single" w:sz="4" w:color="AAAAAA"/>
        </w:pBdr>
      </w:pPr>
      <w:r>
        <w:rPr>
          <w:sz w:val="42"/>
        </w:rPr>
        <w:t xml:space="preserve"> </w:t>
      </w:r>
    </w:p>
    <w:p>
      <w:pPr>
        <w:spacing w:after="100"/>
      </w:pPr>
      <w:r>
        <w:t>Объём, цену и сроки согласовали ДО начала работ:</w:t>
      </w:r>
    </w:p>
    <w:p>
      <w:pPr>
        <w:spacing w:after="100"/>
      </w:pPr>
      <w:r>
        <w:t>Заказчик __________________ / __________________    Исполнитель __________________</w:t>
      </w:r>
    </w:p>
    <w:p>
      <w:r>
        <w:br w:type="page"/>
      </w:r>
    </w:p>
    <w:p>
      <w:pPr>
        <w:pStyle w:val="Heading1"/>
      </w:pPr>
      <w:r>
        <w:t>Акт приёмки и дополнительные согласования</w:t>
      </w:r>
    </w:p>
    <w:p>
      <w:pPr>
        <w:spacing w:after="100"/>
      </w:pPr>
      <w:r>
        <w:t>К договору № ______________ от ______________   Заказ наряд № ______________</w:t>
      </w:r>
    </w:p>
    <w:p>
      <w:pPr>
        <w:keepNext/>
        <w:spacing w:after="0"/>
      </w:pPr>
      <w:r>
        <w:t>Дополнительные работы   Материалы   Изменение цены и срока</w:t>
      </w:r>
    </w:p>
    <w:p>
      <w:pPr>
        <w:spacing w:after="0" w:line="240" w:lineRule="auto" w:before="0"/>
        <w:pBdr>
          <w:bottom w:val="single" w:sz="4" w:color="AAAAAA"/>
        </w:pBdr>
      </w:pPr>
      <w:r>
        <w:rPr>
          <w:sz w:val="42"/>
        </w:rPr>
        <w:t xml:space="preserve"> </w:t>
      </w:r>
    </w:p>
    <w:p>
      <w:pPr>
        <w:spacing w:after="0" w:line="240" w:lineRule="auto" w:before="0"/>
        <w:pBdr>
          <w:bottom w:val="single" w:sz="4" w:color="AAAAAA"/>
        </w:pBdr>
      </w:pPr>
      <w:r>
        <w:rPr>
          <w:sz w:val="42"/>
        </w:rPr>
        <w:t xml:space="preserve"> </w:t>
      </w:r>
    </w:p>
    <w:p>
      <w:pPr>
        <w:spacing w:after="100"/>
      </w:pPr>
      <w:r>
        <w:t>Согласовано до выполнения: дата и время ____________________________________</w:t>
      </w:r>
    </w:p>
    <w:p>
      <w:pPr>
        <w:spacing w:after="100"/>
      </w:pPr>
      <w:r>
        <w:t>Заказчик __________________ / __________________   Исполнитель __________________</w:t>
      </w:r>
    </w:p>
    <w:p>
      <w:pPr>
        <w:keepNext/>
        <w:spacing w:after="0"/>
      </w:pPr>
      <w:r>
        <w:t>Фактически выполненные работы и установленные материалы</w:t>
      </w:r>
    </w:p>
    <w:p>
      <w:pPr>
        <w:spacing w:after="0" w:line="240" w:lineRule="auto" w:before="0"/>
        <w:pBdr>
          <w:bottom w:val="single" w:sz="4" w:color="AAAAAA"/>
        </w:pBdr>
      </w:pPr>
      <w:r>
        <w:rPr>
          <w:sz w:val="42"/>
        </w:rPr>
        <w:t xml:space="preserve"> </w:t>
      </w:r>
    </w:p>
    <w:p>
      <w:pPr>
        <w:spacing w:after="0" w:line="240" w:lineRule="auto" w:before="0"/>
        <w:pBdr>
          <w:bottom w:val="single" w:sz="4" w:color="AAAAAA"/>
        </w:pBdr>
      </w:pPr>
      <w:r>
        <w:rPr>
          <w:sz w:val="42"/>
        </w:rPr>
        <w:t xml:space="preserve"> </w:t>
      </w:r>
    </w:p>
    <w:p>
      <w:pPr>
        <w:spacing w:after="0" w:line="240" w:lineRule="auto" w:before="0"/>
        <w:pBdr>
          <w:bottom w:val="single" w:sz="4" w:color="AAAAAA"/>
        </w:pBdr>
      </w:pPr>
      <w:r>
        <w:rPr>
          <w:sz w:val="42"/>
        </w:rPr>
        <w:t xml:space="preserve"> </w:t>
      </w:r>
    </w:p>
    <w:p>
      <w:pPr>
        <w:spacing w:after="100"/>
      </w:pPr>
      <w:r>
        <w:t>Завершено: дата и время __________________   Итоговая стоимость __________________ ₽</w:t>
      </w:r>
    </w:p>
    <w:p>
      <w:pPr>
        <w:keepNext/>
        <w:spacing w:after="0"/>
      </w:pPr>
      <w:r>
        <w:t>Результат проверки   Замечания Заказчика и срок их устранения</w:t>
      </w:r>
    </w:p>
    <w:p>
      <w:pPr>
        <w:spacing w:after="0" w:line="240" w:lineRule="auto" w:before="0"/>
        <w:pBdr>
          <w:bottom w:val="single" w:sz="4" w:color="AAAAAA"/>
        </w:pBdr>
      </w:pPr>
      <w:r>
        <w:rPr>
          <w:sz w:val="42"/>
        </w:rPr>
        <w:t xml:space="preserve"> </w:t>
      </w:r>
    </w:p>
    <w:p>
      <w:pPr>
        <w:spacing w:after="0" w:line="240" w:lineRule="auto" w:before="0"/>
        <w:pBdr>
          <w:bottom w:val="single" w:sz="4" w:color="AAAAAA"/>
        </w:pBdr>
      </w:pPr>
      <w:r>
        <w:rPr>
          <w:sz w:val="42"/>
        </w:rPr>
        <w:t xml:space="preserve"> </w:t>
      </w:r>
    </w:p>
    <w:p>
      <w:pPr>
        <w:keepNext/>
        <w:spacing w:after="0"/>
      </w:pPr>
      <w:r>
        <w:t>Возвращённые детали и остатки материалов</w:t>
      </w:r>
    </w:p>
    <w:p>
      <w:pPr>
        <w:spacing w:after="0" w:line="240" w:lineRule="auto" w:before="0"/>
        <w:pBdr>
          <w:bottom w:val="single" w:sz="4" w:color="AAAAAA"/>
        </w:pBdr>
      </w:pPr>
      <w:r>
        <w:rPr>
          <w:sz w:val="42"/>
        </w:rPr>
        <w:t xml:space="preserve"> </w:t>
      </w:r>
    </w:p>
    <w:p>
      <w:pPr>
        <w:keepNext/>
        <w:spacing w:after="0"/>
      </w:pPr>
      <w:r>
        <w:t>Рекомендации мастера и условия дальнейшей эксплуатации</w:t>
      </w:r>
    </w:p>
    <w:p>
      <w:pPr>
        <w:spacing w:after="0" w:line="240" w:lineRule="auto" w:before="0"/>
        <w:pBdr>
          <w:bottom w:val="single" w:sz="4" w:color="AAAAAA"/>
        </w:pBdr>
      </w:pPr>
      <w:r>
        <w:rPr>
          <w:sz w:val="42"/>
        </w:rPr>
        <w:t xml:space="preserve"> </w:t>
      </w:r>
    </w:p>
    <w:p>
      <w:pPr>
        <w:spacing w:after="0" w:line="240" w:lineRule="auto" w:before="0"/>
        <w:pBdr>
          <w:bottom w:val="single" w:sz="4" w:color="AAAAAA"/>
        </w:pBdr>
      </w:pPr>
      <w:r>
        <w:rPr>
          <w:sz w:val="42"/>
        </w:rPr>
        <w:t xml:space="preserve"> </w:t>
      </w:r>
    </w:p>
    <w:p>
      <w:pPr>
        <w:spacing w:after="100"/>
      </w:pPr>
      <w:r>
        <w:t>Оплачено __________________ ₽</w:t>
      </w:r>
    </w:p>
    <w:p>
      <w:pPr>
        <w:spacing w:after="100"/>
      </w:pPr>
      <w:r>
        <w:t>Исполнитель: __________________ / __________________    Дата ______________</w:t>
      </w:r>
    </w:p>
    <w:p>
      <w:pPr>
        <w:spacing w:after="100"/>
      </w:pPr>
      <w:r>
        <w:t>Заказчик: _____________________ / __________________    Дата ______________</w:t>
      </w:r>
    </w:p>
    <w:p>
      <w:pPr>
        <w:spacing w:after="100"/>
      </w:pPr>
      <w:r>
        <w:t>Подписание акта не исключает требований по скрытым недостаткам и иных законных прав.</w:t>
      </w:r>
    </w:p>
    <w:p>
      <w:pPr>
        <w:spacing w:after="100"/>
      </w:pPr>
      <w:r>
        <w:t>Тарифы и перечень площадок при необходимости оформляются отдельным подписанным приложением. Настоящая заявка уточняет условия конкретного выезда.</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ООО «ВОЗРОЖДЕНИЕ»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2" w:lineRule="auto"/>
    </w:pPr>
    <w:rPr>
      <w:rFonts w:ascii="Arial" w:hAnsi="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rial" w:hAnsi="Arial"/>
      <w:color w:val="000000"/>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