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Договор заказ наряд на шиномонтаж</w:t>
      </w:r>
    </w:p>
    <w:p>
      <w:r>
        <w:rPr>
          <w:b/>
        </w:rPr>
        <w:t>Саша Шиночкин · ООО «ВОЗРОЖДЕНИЕ» · г. Москва</w:t>
      </w:r>
    </w:p>
    <w:p>
      <w:r>
        <w:rPr>
          <w:b w:val="0"/>
          <w:sz w:val="20"/>
        </w:rPr>
        <w:t>Телефон +7 (921) 907-11-55 · vyezdnoi-shinomontaj-spb@yandex.ru</w:t>
      </w:r>
    </w:p>
    <w:p>
      <w:r>
        <w:rPr>
          <w:b w:val="0"/>
          <w:sz w:val="20"/>
        </w:rPr>
        <w:t>Заполните только эту сторону. Условия и реквизиты — на обороте.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64"/>
        <w:gridCol w:w="3024"/>
        <w:gridCol w:w="3024"/>
      </w:tblGrid>
      <w:tr>
        <w:trPr>
          <w:trHeight w:val="576" w:hRule="atLeast"/>
        </w:trPr>
        <w:tc>
          <w:tcPr>
            <w:tcW w:type="dxa" w:w="4464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Дата</w:t>
            </w:r>
          </w:p>
        </w:tc>
        <w:tc>
          <w:tcPr>
            <w:tcW w:type="dxa" w:w="3024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Начало работ</w:t>
            </w:r>
          </w:p>
        </w:tc>
        <w:tc>
          <w:tcPr>
            <w:tcW w:type="dxa" w:w="3024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Окончание работ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912"/>
        <w:gridCol w:w="3600"/>
      </w:tblGrid>
      <w:tr>
        <w:trPr>
          <w:trHeight w:val="691" w:hRule="atLeast"/>
        </w:trPr>
        <w:tc>
          <w:tcPr>
            <w:tcW w:type="dxa" w:w="69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Заказчик — ФИО</w:t>
            </w:r>
          </w:p>
        </w:tc>
        <w:tc>
          <w:tcPr>
            <w:tcW w:type="dxa" w:w="3600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Телефон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rPr>
          <w:trHeight w:val="691" w:hRule="atLeast"/>
        </w:trPr>
        <w:tc>
          <w:tcPr>
            <w:tcW w:type="dxa" w:w="105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Адрес выезда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912"/>
        <w:gridCol w:w="3600"/>
      </w:tblGrid>
      <w:tr>
        <w:trPr>
          <w:trHeight w:val="691" w:hRule="atLeast"/>
        </w:trPr>
        <w:tc>
          <w:tcPr>
            <w:tcW w:type="dxa" w:w="69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Автомобиль — марка и модель</w:t>
            </w:r>
          </w:p>
        </w:tc>
        <w:tc>
          <w:tcPr>
            <w:tcW w:type="dxa" w:w="3600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Государственный номер</w:t>
            </w:r>
          </w:p>
        </w:tc>
      </w:tr>
    </w:tbl>
    <w:p>
      <w:r>
        <w:rPr>
          <w:b/>
        </w:rPr>
        <w:t>РАБОТЫ — ОТМЕТЬТЕ НУЖНОЕ</w:t>
      </w:r>
    </w:p>
    <w:p>
      <w:r>
        <w:rPr>
          <w:b w:val="0"/>
          <w:sz w:val="24"/>
        </w:rPr>
        <w:t>□ Прокол    □ Сезонная замена    □ Замена колеса / запаска</w:t>
      </w:r>
    </w:p>
    <w:p>
      <w:r>
        <w:rPr>
          <w:b w:val="0"/>
          <w:sz w:val="24"/>
        </w:rPr>
        <w:t>□ Балансировка    □ Боковой порез    □ Другое — впишите ниже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600"/>
      </w:tblGrid>
      <w:tr>
        <w:trPr>
          <w:trHeight w:val="576" w:hRule="atLeast"/>
        </w:trPr>
        <w:tc>
          <w:tcPr>
            <w:tcW w:type="dxa" w:w="34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Размер шин</w:t>
            </w:r>
          </w:p>
        </w:tc>
        <w:tc>
          <w:tcPr>
            <w:tcW w:type="dxa" w:w="34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Колёс в работе</w:t>
            </w:r>
          </w:p>
        </w:tc>
        <w:tc>
          <w:tcPr>
            <w:tcW w:type="dxa" w:w="3600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Пробег — при необходимости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rPr>
          <w:trHeight w:val="792" w:hRule="atLeast"/>
        </w:trPr>
        <w:tc>
          <w:tcPr>
            <w:tcW w:type="dxa" w:w="105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Повреждение / задача; видимые дефекты до работ — если есть</w:t>
            </w:r>
          </w:p>
        </w:tc>
      </w:tr>
    </w:tbl>
    <w:p>
      <w:r>
        <w:rPr>
          <w:b/>
        </w:rPr>
        <w:t>СОСТАВ И ЦЕНА ЗАКАЗА</w:t>
      </w:r>
    </w:p>
    <w:p>
      <w:r>
        <w:rPr>
          <w:b w:val="0"/>
          <w:sz w:val="18"/>
        </w:rPr>
        <w:t>Укажите состав работ и материалов. Неиспользованные строки прочеркните.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056"/>
        <w:gridCol w:w="1152"/>
        <w:gridCol w:w="2304"/>
      </w:tblGrid>
      <w:tr>
        <w:trPr>
          <w:trHeight w:val="346" w:hRule="atLeast"/>
        </w:trPr>
        <w:tc>
          <w:tcPr>
            <w:tcW w:type="dxa" w:w="70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Работы / материалы</w:t>
            </w:r>
          </w:p>
        </w:tc>
        <w:tc>
          <w:tcPr>
            <w:tcW w:type="dxa" w:w="115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Кол во</w:t>
            </w:r>
          </w:p>
        </w:tc>
        <w:tc>
          <w:tcPr>
            <w:tcW w:type="dxa" w:w="2304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Сумма ₽</w:t>
            </w:r>
          </w:p>
        </w:tc>
      </w:tr>
      <w:tr>
        <w:trPr>
          <w:trHeight w:val="547" w:hRule="atLeast"/>
        </w:trPr>
        <w:tc>
          <w:tcPr>
            <w:tcW w:type="dxa" w:w="705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115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2304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</w:tr>
      <w:tr>
        <w:trPr>
          <w:trHeight w:val="547" w:hRule="atLeast"/>
        </w:trPr>
        <w:tc>
          <w:tcPr>
            <w:tcW w:type="dxa" w:w="705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115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2304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</w:tr>
      <w:tr>
        <w:trPr>
          <w:trHeight w:val="547" w:hRule="atLeast"/>
        </w:trPr>
        <w:tc>
          <w:tcPr>
            <w:tcW w:type="dxa" w:w="7056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1152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  <w:tc>
          <w:tcPr>
            <w:tcW w:type="dxa" w:w="2304"/>
            <w:vAlign w:val="center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/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rHeight w:val="691" w:hRule="atLeast"/>
        </w:trPr>
        <w:tc>
          <w:tcPr>
            <w:tcW w:type="dxa" w:w="52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Выезд и все доплаты ₽</w:t>
            </w:r>
          </w:p>
        </w:tc>
        <w:tc>
          <w:tcPr>
            <w:tcW w:type="dxa" w:w="52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ИТОГО к оплате ₽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rPr>
          <w:trHeight w:val="648" w:hRule="atLeast"/>
        </w:trPr>
        <w:tc>
          <w:tcPr>
            <w:tcW w:type="dxa" w:w="105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Работы: гарантия 30 дней. Материалы заказчика / особые условия — при наличии</w:t>
            </w:r>
          </w:p>
        </w:tc>
      </w:tr>
    </w:tbl>
    <w:p>
      <w:r>
        <w:rPr>
          <w:b w:val="0"/>
          <w:sz w:val="20"/>
        </w:rPr>
        <w:t>ДО РАБОТ: состав, общая цена и сроки согласованы. Условия на обороте получил.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rPr>
          <w:trHeight w:val="648" w:hRule="atLeast"/>
        </w:trPr>
        <w:tc>
          <w:tcPr>
            <w:tcW w:type="dxa" w:w="52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Подпись заказчика</w:t>
            </w:r>
          </w:p>
        </w:tc>
        <w:tc>
          <w:tcPr>
            <w:tcW w:type="dxa" w:w="525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Мастер — ФИО и подпись</w:t>
            </w:r>
          </w:p>
        </w:tc>
      </w:tr>
    </w:tbl>
    <w:p>
      <w:r>
        <w:rPr>
          <w:b w:val="0"/>
          <w:sz w:val="20"/>
        </w:rPr>
        <w:t>ПОСЛЕ РАБОТ: результат осмотрен и принят. Замечания: □ нет  □ указаны ниже.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rPr>
          <w:trHeight w:val="648" w:hRule="atLeast"/>
        </w:trPr>
        <w:tc>
          <w:tcPr>
            <w:tcW w:type="dxa" w:w="10512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Замечания / рекомендации / изменения заказа — при наличии</w:t>
            </w:r>
          </w:p>
        </w:tc>
      </w:tr>
    </w:tbl>
    <w:p>
      <w:r>
        <w:rPr>
          <w:b w:val="0"/>
          <w:sz w:val="22"/>
        </w:rPr>
        <w:t>Оплата: □ наличные  □ карта  □ СБП  □ перевод  □ по счёту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76"/>
        <w:gridCol w:w="3168"/>
        <w:gridCol w:w="3168"/>
      </w:tblGrid>
      <w:tr>
        <w:trPr>
          <w:trHeight w:val="648" w:hRule="atLeast"/>
        </w:trPr>
        <w:tc>
          <w:tcPr>
            <w:tcW w:type="dxa" w:w="4176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Оплачено ₽ / остаток и срок</w:t>
            </w:r>
          </w:p>
        </w:tc>
        <w:tc>
          <w:tcPr>
            <w:tcW w:type="dxa" w:w="3168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Подпись заказчика</w:t>
            </w:r>
          </w:p>
        </w:tc>
        <w:tc>
          <w:tcPr>
            <w:tcW w:type="dxa" w:w="3168"/>
            <w:vAlign w:val="top"/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0"/>
            </w:pPr>
            <w:r>
              <w:rPr>
                <w:sz w:val="18"/>
              </w:rPr>
              <w:t>Подпись мастера</w:t>
            </w:r>
          </w:p>
        </w:tc>
      </w:tr>
    </w:tbl>
    <w:p>
      <w:r>
        <w:br w:type="page"/>
      </w:r>
    </w:p>
    <w:p>
      <w:pPr>
        <w:pStyle w:val="Title"/>
      </w:pPr>
      <w:r>
        <w:t>Условия разового заказа</w:t>
      </w:r>
    </w:p>
    <w:p>
      <w:r>
        <w:rPr>
          <w:b w:val="0"/>
          <w:sz w:val="20"/>
        </w:rPr>
        <w:t>Оборотная сторона договора заказа наряда · Дополнительное заполнение не требуется.</w:t>
      </w:r>
    </w:p>
    <w:p>
      <w:pPr>
        <w:pStyle w:val="Heading1"/>
      </w:pPr>
      <w:r>
        <w:t>Стороны и предмет</w:t>
      </w:r>
    </w:p>
    <w:p>
      <w:r>
        <w:rPr>
          <w:b w:val="0"/>
          <w:sz w:val="20"/>
        </w:rPr>
        <w:t>ООО «ВОЗРОЖДЕНИЕ», в лице генерального директора Гогуадзе Гаиоза Тенгизовича, действующего на основании Устава, далее Исполнитель, и Заказчик, указанный на лицевой стороне, заключают договор на перечисленные там работы. Работы выполняет уполномоченный мастер Исполнителя. Лицевая сторона одновременно является заявкой, заказом-нарядом и актом приёмки; обе стороны бланка составляют единый договор.</w:t>
      </w:r>
    </w:p>
    <w:p>
      <w:pPr>
        <w:pStyle w:val="Heading1"/>
      </w:pPr>
      <w:r>
        <w:t>Согласование цены и изменений</w:t>
      </w:r>
    </w:p>
    <w:p>
      <w:r>
        <w:rPr>
          <w:b w:val="0"/>
          <w:sz w:val="20"/>
        </w:rPr>
        <w:t>Исполнитель применяет УСН. Согласованная общая стоимость окончательная; налог сверх неё не начисляется. Состав работ, материалы, сроки и общая цена согласуются до начала работ. Смета является твёрдой, если стороны отдельно не согласовали иное. Дополнительные работы, материалы, увеличение цены и изменение сроков допускаются только после согласия Заказчика. Изменения записываются на лицевой стороне либо отдельном листе с датой и подписями сторон. Запись после выполнения работ не заменяет предварительного согласия.</w:t>
      </w:r>
    </w:p>
    <w:p>
      <w:pPr>
        <w:pStyle w:val="Heading1"/>
      </w:pPr>
      <w:r>
        <w:t>Осмотр и безопасность</w:t>
      </w:r>
    </w:p>
    <w:p>
      <w:r>
        <w:rPr>
          <w:b w:val="0"/>
          <w:sz w:val="20"/>
        </w:rPr>
        <w:t>Заказчик обеспечивает доступ к автомобилю и сообщает об известных повреждениях. Мастер осматривает колёса и фиксирует видимые дефекты до работ. При непригодных материалах или опасных условиях мастер приостанавливает работы и согласует дальнейшие действия; небезопасный ремонт не выполняется. Если автомобиль, ключи или иное имущество передаются Исполнителю отдельно, комплектность и состояние фиксируются отдельной записью с подписями сторон. При необходимости сведения о документе на автомобиль, VIN и полномочиях представителя указываются в дополнительном листе.</w:t>
      </w:r>
    </w:p>
    <w:p>
      <w:pPr>
        <w:pStyle w:val="Heading1"/>
      </w:pPr>
      <w:r>
        <w:t>Оплата и приёмка</w:t>
      </w:r>
    </w:p>
    <w:p>
      <w:r>
        <w:rPr>
          <w:b w:val="0"/>
          <w:sz w:val="20"/>
        </w:rPr>
        <w:t>Если иной срок письменно не согласован, Заказчик оплачивает работы после их завершения и приёмки. Исполнитель предоставляет документ об оплате и кассовый чек в предусмотренных законом случаях. Заказчик осматривает результат вместе с мастером. Замечания и порядок устранения записываются в бланке. Подпись о приёмке не исключает требований по скрытым недостаткам. Если согласовано изменение цены, итоговую сумму стороны подтверждают до выполнения дополнительных работ.</w:t>
      </w:r>
    </w:p>
    <w:p>
      <w:pPr>
        <w:pStyle w:val="Heading1"/>
      </w:pPr>
      <w:r>
        <w:t>Качество и гарантия</w:t>
      </w:r>
    </w:p>
    <w:p>
      <w:r>
        <w:rPr>
          <w:b w:val="0"/>
          <w:sz w:val="20"/>
        </w:rPr>
        <w:t>Гарантия на работы — 30 календарных дней со дня приёмки; на материалы Исполнителя — по документам изготовителя. Больший срок можно согласовать на лицевой стороне. Отсутствие гарантии изготовителя не исключает законных требований. Гарантия и подпись о приёмке не ограничивают права по закону, в том числе при скрытых недостатках.</w:t>
      </w:r>
    </w:p>
    <w:p>
      <w:pPr>
        <w:pStyle w:val="Heading1"/>
      </w:pPr>
      <w:r>
        <w:t>Ответственность и претензии</w:t>
      </w:r>
    </w:p>
    <w:p>
      <w:r>
        <w:rPr>
          <w:b w:val="0"/>
          <w:sz w:val="20"/>
        </w:rPr>
        <w:t>За просрочку оплаты Заказчик уплачивает 0,5% от непогашенной просроченной суммы за каждый календарный день; за просрочку работ Исполнитель — 0,5% от стоимости задержанных работ. Начисление — со следующего дня после срока по день исполнения включительно. Для Заказчика-потребителя за просрочку работ применяется неустойка по ст. 28 Закона РФ «О защите прав потребителей», без уменьшения договором. Потребитель вправе отказаться от заказа с оплатой подтверждённых фактических расходов. Претензии — по адресу или email Исполнителя; законные сроки и способы защиты сохраняются.</w:t>
      </w:r>
    </w:p>
    <w:p>
      <w:pPr>
        <w:pStyle w:val="Heading1"/>
      </w:pPr>
      <w:r>
        <w:t>Документы и контактные данные</w:t>
      </w:r>
    </w:p>
    <w:p>
      <w:r>
        <w:rPr>
          <w:b w:val="0"/>
          <w:sz w:val="20"/>
        </w:rPr>
        <w:t>Один экземпляр бланка с заполненными обеими сторонами передаётся Заказчику. При печати на двух листах они скрепляются вместе. Контактные данные используются для исполнения договора и обязательного учёта. Реклама и публикация идентифицирующих фотографий требуют отдельного законного основания.</w:t>
      </w:r>
    </w:p>
    <w:p>
      <w:pPr>
        <w:pStyle w:val="Heading1"/>
      </w:pPr>
      <w:r>
        <w:t>Реквизиты Исполнителя</w:t>
      </w:r>
    </w:p>
    <w:p>
      <w:r>
        <w:rPr>
          <w:b w:val="0"/>
          <w:sz w:val="18"/>
        </w:rPr>
        <w:t>Полное наименование: ОБЩЕСТВО С ОГРАНИЧЕННОЙ ОТВЕТСТВЕННОСТЬЮ «ВОЗРОЖДЕНИЕ». Сокращённое наименование: ООО «ВОЗРОЖДЕНИЕ».</w:t>
      </w:r>
    </w:p>
    <w:p>
      <w:r>
        <w:rPr>
          <w:b w:val="0"/>
          <w:sz w:val="18"/>
        </w:rPr>
        <w:t>Адрес: 192007, Россия, г. Санкт-Петербург, муниципальный округ Волковское, ул. Расстанная, д. 18, литера Б, помещ. 14-Н, офис 6.</w:t>
      </w:r>
    </w:p>
    <w:p>
      <w:r>
        <w:rPr>
          <w:b w:val="0"/>
          <w:sz w:val="18"/>
        </w:rPr>
        <w:t>ИНН 7816760739 · КПП 781601001 · Расчётный счёт 40702810532440005385 · Валюта RUR.</w:t>
      </w:r>
    </w:p>
    <w:p>
      <w:r>
        <w:rPr>
          <w:b w:val="0"/>
          <w:sz w:val="18"/>
        </w:rPr>
        <w:t>Банк: ФИЛИАЛ «САНКТ-ПЕТЕРБУРГСКИЙ» АО «АЛЬФА-БАНК». ИНН банка 7728168971.</w:t>
      </w:r>
    </w:p>
    <w:p>
      <w:r>
        <w:rPr>
          <w:b w:val="0"/>
          <w:sz w:val="18"/>
        </w:rPr>
        <w:t>БИК 044030786 · Корреспондентский счёт 30101810600000000786.</w:t>
      </w:r>
    </w:p>
    <w:p>
      <w:r>
        <w:rPr>
          <w:b w:val="0"/>
          <w:sz w:val="18"/>
        </w:rPr>
        <w:t>Телефон +7 (921) 907-11-55 · Email vyezdnoi-shinomontaj-spb@yandex.ru.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